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12 k vyhlášce č. 503/2006 Sb. </w:t>
      </w:r>
    </w:p>
    <w:p w:rsidR="00194686" w:rsidRDefault="006C57AA" w:rsidP="00194686">
      <w:pPr>
        <w:tabs>
          <w:tab w:val="left" w:pos="4395"/>
          <w:tab w:val="left" w:pos="5670"/>
        </w:tabs>
        <w:spacing w:before="240" w:line="360" w:lineRule="auto"/>
        <w:rPr>
          <w:b/>
          <w:sz w:val="28"/>
          <w:szCs w:val="28"/>
        </w:rPr>
      </w:pPr>
      <w:r>
        <w:rPr>
          <w:szCs w:val="24"/>
        </w:rPr>
        <w:tab/>
      </w:r>
      <w:r w:rsidR="00194686">
        <w:rPr>
          <w:b/>
          <w:sz w:val="28"/>
          <w:szCs w:val="28"/>
        </w:rPr>
        <w:t>Městský úřad Rokytnice v Orlických horách</w:t>
      </w:r>
    </w:p>
    <w:p w:rsidR="00194686" w:rsidRDefault="00194686" w:rsidP="00194686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Odbor výstavby a životního prostředí</w:t>
      </w:r>
    </w:p>
    <w:p w:rsidR="00194686" w:rsidRDefault="00194686" w:rsidP="00194686">
      <w:pPr>
        <w:tabs>
          <w:tab w:val="left" w:pos="4395"/>
          <w:tab w:val="left" w:pos="5670"/>
          <w:tab w:val="left" w:pos="7320"/>
        </w:tabs>
        <w:spacing w:line="360" w:lineRule="auto"/>
        <w:rPr>
          <w:szCs w:val="24"/>
        </w:rPr>
      </w:pPr>
      <w:r>
        <w:rPr>
          <w:szCs w:val="24"/>
        </w:rPr>
        <w:tab/>
        <w:t>náměstí Jindřicha Šimka 3</w:t>
      </w:r>
      <w:r>
        <w:rPr>
          <w:szCs w:val="24"/>
        </w:rPr>
        <w:tab/>
      </w:r>
    </w:p>
    <w:p w:rsidR="00194686" w:rsidRDefault="00194686" w:rsidP="00194686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 xml:space="preserve">                                                                         517 61 Rokytnice v Orlických horách</w:t>
      </w:r>
    </w:p>
    <w:p w:rsidR="006C57AA" w:rsidRDefault="006C57AA" w:rsidP="00194686">
      <w:pPr>
        <w:pStyle w:val="Nadpis1"/>
        <w:tabs>
          <w:tab w:val="left" w:pos="4395"/>
        </w:tabs>
        <w:rPr>
          <w:szCs w:val="24"/>
        </w:rPr>
      </w:pPr>
    </w:p>
    <w:p w:rsidR="006C57AA" w:rsidRDefault="006C57AA" w:rsidP="006C57AA"/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>ŽÁDOST O VYDÁNÍ KOLAUDAČNÍHO SOUHLASU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122 č. 183/2006 Sb., o územním plánování a stavebním řádu (stavební zákon) a § 18i vyhlášky č. </w:t>
      </w:r>
      <w:r>
        <w:rPr>
          <w:b w:val="0"/>
          <w:color w:val="000000"/>
          <w:szCs w:val="24"/>
        </w:rPr>
        <w:t>503/</w:t>
      </w:r>
      <w:r>
        <w:rPr>
          <w:b w:val="0"/>
          <w:szCs w:val="24"/>
        </w:rPr>
        <w:t xml:space="preserve">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 xml:space="preserve">(název, účel stavby, místo, pokud dochází ke změně parcelního čísla – uvést původní a nové </w:t>
      </w:r>
      <w:proofErr w:type="spellStart"/>
      <w:r>
        <w:t>parc</w:t>
      </w:r>
      <w:proofErr w:type="spellEnd"/>
      <w:r>
        <w:t>. č.)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bookmarkStart w:id="0" w:name="_GoBack"/>
      <w:bookmarkEnd w:id="0"/>
      <w:r>
        <w:rPr>
          <w:szCs w:val="24"/>
        </w:rPr>
        <w:lastRenderedPageBreak/>
        <w:t>Žádá-li  více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E433C0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433C0">
        <w:rPr>
          <w:b/>
          <w:szCs w:val="24"/>
        </w:rPr>
      </w:r>
      <w:r w:rsidR="00E433C0">
        <w:rPr>
          <w:b/>
          <w:szCs w:val="24"/>
        </w:rPr>
        <w:fldChar w:fldCharType="separate"/>
      </w:r>
      <w:r w:rsidR="00E433C0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E433C0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433C0">
        <w:rPr>
          <w:b/>
          <w:szCs w:val="24"/>
        </w:rPr>
      </w:r>
      <w:r w:rsidR="00E433C0">
        <w:rPr>
          <w:b/>
          <w:szCs w:val="24"/>
        </w:rPr>
        <w:fldChar w:fldCharType="separate"/>
      </w:r>
      <w:r w:rsidR="00E433C0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 Stavebník jedná   </w:t>
      </w:r>
    </w:p>
    <w:p w:rsidR="006C57AA" w:rsidRDefault="00E433C0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E433C0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C57AA" w:rsidRDefault="00E433C0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 ne</w:t>
      </w:r>
    </w:p>
    <w:p w:rsidR="006C57AA" w:rsidRDefault="00E433C0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 w:rsidR="006C57AA">
        <w:rPr>
          <w:b/>
          <w:color w:val="000000"/>
          <w:szCs w:val="24"/>
        </w:rPr>
        <w:t xml:space="preserve">  </w:t>
      </w:r>
      <w:r w:rsidR="006C57AA">
        <w:rPr>
          <w:color w:val="000000"/>
          <w:szCs w:val="24"/>
        </w:rPr>
        <w:t xml:space="preserve"> ano (popis a zdůvodnění nepodstatných odchylek)             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lastRenderedPageBreak/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V.  Předpokládaný termín dokončení stavby a zahájení jejího užívání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pStyle w:val="Styl2"/>
      </w:pPr>
      <w:r>
        <w:t>VI. U dočasné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pStyle w:val="Styl1"/>
      </w:pPr>
      <w:r>
        <w:t>VII. Údaj o zkušebním provozu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Byl proveden        </w:t>
      </w:r>
      <w:r w:rsidR="00E433C0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E433C0">
        <w:rPr>
          <w:b/>
          <w:szCs w:val="24"/>
        </w:rPr>
      </w:r>
      <w:r w:rsidR="00E433C0">
        <w:rPr>
          <w:b/>
          <w:szCs w:val="24"/>
        </w:rPr>
        <w:fldChar w:fldCharType="separate"/>
      </w:r>
      <w:r w:rsidR="00E433C0"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ne                                          </w:t>
      </w:r>
    </w:p>
    <w:p w:rsidR="006C57AA" w:rsidRDefault="00E433C0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>ano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 xml:space="preserve">na základě rozhodnutí, které vydal……………………………………………………… 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 xml:space="preserve">dne ……………………………..…pod </w:t>
      </w:r>
      <w:proofErr w:type="spellStart"/>
      <w:r>
        <w:rPr>
          <w:szCs w:val="24"/>
        </w:rPr>
        <w:t>č.j</w:t>
      </w:r>
      <w:proofErr w:type="spellEnd"/>
      <w:r>
        <w:rPr>
          <w:szCs w:val="24"/>
        </w:rPr>
        <w:t>…………………..…………………………..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b/>
          <w:szCs w:val="24"/>
        </w:rPr>
      </w:pPr>
      <w:r>
        <w:rPr>
          <w:szCs w:val="24"/>
        </w:rPr>
        <w:t xml:space="preserve">doba jeho trvání ….…………………………………………..…………………………..    </w:t>
      </w:r>
    </w:p>
    <w:p w:rsidR="006C57AA" w:rsidRDefault="006C57AA" w:rsidP="006C57AA">
      <w:pPr>
        <w:tabs>
          <w:tab w:val="left" w:pos="4111"/>
        </w:tabs>
        <w:spacing w:line="360" w:lineRule="auto"/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 žádosti o vydání kolaudačního souhlasu:</w:t>
      </w:r>
    </w:p>
    <w:tbl>
      <w:tblPr>
        <w:tblW w:w="10267" w:type="dxa"/>
        <w:tblInd w:w="250" w:type="dxa"/>
        <w:tblLook w:val="01E0"/>
      </w:tblPr>
      <w:tblGrid>
        <w:gridCol w:w="608"/>
        <w:gridCol w:w="9659"/>
      </w:tblGrid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o výsledcích zkušebního provozu, pokud byl prováděn.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prokazující shodu vlastností použitých výrobků  s požadavky na stavby (§ 156 stavebního zákona).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 stavby s jaderným zařízením povolení Státního úřadu pro jadernou bezpečnost podle zvláštního právního předpisu.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Jiné doklady stanovené v povolení stavby.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Plná moc v případě zastupování stavebníka, není-li udělena plná moc pro více řízení, popřípadě  plná moc do protokolu.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Certifikát autorizovaného inspektora, pokud byl vyhotoven.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Samostatná příloha k bodu II. části A.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6C57AA" w:rsidRDefault="00E433C0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orgánu, č.j. a data vydání, a to na úseku: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  <w:tab w:val="left" w:pos="9882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ovzduší……………………………………………………………………..………………………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veřejného  zdraví ……………………..……………………………………………………………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lázní a zřídel….………………..……………………..……………………… ……………………………..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veterinární péče………………………………………………………………………..………………………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památkové péče………………………………………………………………………..………………………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drážní………………………………………………………………………..………………..………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letecké………….……………………………………………………………..………………………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dopravy vodní…………...………………………………………...……………………..……………………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energetiky…………...…………………………………………………….……………..……………………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jaderné bezpečnosti a ochrany před ionizujícím zářením  …………………………………………………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elektronických komunikací ………..………………………………...……………………………………….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obrany státu  ………………………………………………………………………………………………….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bezpečnosti státu…………………………………………………………………………..……………..……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civilní ochrany…………..……………………………………………………………………………….……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požární ochrany……………………………………………………………………….……….……………</w:t>
            </w:r>
          </w:p>
          <w:p w:rsidR="006C57AA" w:rsidRDefault="00E433C0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další…………..………………………………………………………………………….…………………….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C57AA">
        <w:trPr>
          <w:trHeight w:val="4336"/>
        </w:trPr>
        <w:tc>
          <w:tcPr>
            <w:tcW w:w="608" w:type="dxa"/>
            <w:hideMark/>
          </w:tcPr>
          <w:p w:rsidR="006C57AA" w:rsidRDefault="00E433C0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E433C0">
            <w:pPr>
              <w:tabs>
                <w:tab w:val="left" w:pos="-284"/>
              </w:tabs>
              <w:spacing w:before="120"/>
              <w:ind w:left="1094" w:hanging="670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284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vlastníka, č.j. a data vydání, a to na úseku:</w:t>
            </w:r>
          </w:p>
          <w:p w:rsidR="006C57AA" w:rsidRDefault="00E433C0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elektrické energie  ……………………….………………………………………………….…………….....</w:t>
            </w:r>
          </w:p>
          <w:p w:rsidR="006C57AA" w:rsidRDefault="00E433C0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plynu……………  ……………………….……………………………………………….………….………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</w:t>
            </w:r>
            <w:r w:rsidR="006C57AA">
              <w:rPr>
                <w:bCs/>
                <w:sz w:val="20"/>
                <w:szCs w:val="20"/>
              </w:rPr>
              <w:tab/>
              <w:t>rozvodu tepla ……....………………………………………………………………………….……………..</w:t>
            </w:r>
          </w:p>
          <w:p w:rsidR="006C57AA" w:rsidRDefault="00E433C0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vody ……………..…………………….………………………………………………….………….………</w:t>
            </w:r>
          </w:p>
          <w:p w:rsidR="006C57AA" w:rsidRDefault="00E433C0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</w:t>
            </w:r>
            <w:r w:rsidR="006C57AA">
              <w:rPr>
                <w:bCs/>
                <w:sz w:val="20"/>
              </w:rPr>
              <w:tab/>
              <w:t>kanalizace ……………………………….……………………………………………….……..……………</w:t>
            </w:r>
          </w:p>
          <w:p w:rsidR="006C57AA" w:rsidRDefault="00E433C0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elektronických komunikací…..…………………………………………………..…….…………………….</w:t>
            </w:r>
          </w:p>
          <w:p w:rsidR="006C57AA" w:rsidRDefault="00E433C0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dopravy ………..……………………….……………………………………………….……………………</w:t>
            </w:r>
          </w:p>
          <w:p w:rsidR="006C57AA" w:rsidRDefault="00E433C0">
            <w:pPr>
              <w:tabs>
                <w:tab w:val="left" w:pos="-284"/>
              </w:tabs>
              <w:spacing w:before="120"/>
              <w:ind w:firstLine="418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další…………..……………………………………………………………………….…….……………….…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firstLine="418"/>
              <w:rPr>
                <w:bCs/>
                <w:szCs w:val="24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</w:t>
            </w:r>
            <w:r>
              <w:t xml:space="preserve"> </w:t>
            </w:r>
            <w:r>
              <w:rPr>
                <w:i/>
                <w:color w:val="000000"/>
              </w:rPr>
              <w:t>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837491" w:rsidRDefault="006C57AA" w:rsidP="00D654CA">
      <w:pPr>
        <w:jc w:val="right"/>
      </w:pPr>
      <w:r>
        <w:rPr>
          <w:b/>
          <w:color w:val="000000"/>
          <w:sz w:val="20"/>
        </w:rPr>
        <w:br w:type="page"/>
      </w:r>
    </w:p>
    <w:sectPr w:rsidR="00837491" w:rsidSect="00D654CA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194686"/>
    <w:rsid w:val="00317116"/>
    <w:rsid w:val="003D06CD"/>
    <w:rsid w:val="003E17E6"/>
    <w:rsid w:val="00574040"/>
    <w:rsid w:val="006C57AA"/>
    <w:rsid w:val="00727EBE"/>
    <w:rsid w:val="007844DB"/>
    <w:rsid w:val="00837491"/>
    <w:rsid w:val="00894515"/>
    <w:rsid w:val="008F2F45"/>
    <w:rsid w:val="009C456C"/>
    <w:rsid w:val="009F77A6"/>
    <w:rsid w:val="00AD27C0"/>
    <w:rsid w:val="00D654CA"/>
    <w:rsid w:val="00E433C0"/>
    <w:rsid w:val="00EA7ED9"/>
    <w:rsid w:val="00F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Your User Name</cp:lastModifiedBy>
  <cp:revision>2</cp:revision>
  <dcterms:created xsi:type="dcterms:W3CDTF">2013-04-03T14:37:00Z</dcterms:created>
  <dcterms:modified xsi:type="dcterms:W3CDTF">2013-04-03T14:37:00Z</dcterms:modified>
</cp:coreProperties>
</file>