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4E" w:rsidRPr="00AC0E4E" w:rsidRDefault="00AC0E4E" w:rsidP="00AC0E4E">
      <w:pPr>
        <w:jc w:val="both"/>
        <w:rPr>
          <w:sz w:val="22"/>
          <w:szCs w:val="22"/>
        </w:rPr>
      </w:pPr>
      <w:r w:rsidRPr="00AC0E4E">
        <w:rPr>
          <w:sz w:val="22"/>
          <w:szCs w:val="22"/>
        </w:rPr>
        <w:t>Příloha č. 1</w:t>
      </w:r>
    </w:p>
    <w:p w:rsidR="00771B64" w:rsidRPr="00BC6F6A" w:rsidRDefault="00771B64" w:rsidP="00BC6F6A">
      <w:r w:rsidRPr="00BC6F6A">
        <w:t>TECHNICKÁ ZPRÁVA</w:t>
      </w:r>
    </w:p>
    <w:p w:rsidR="00771B64" w:rsidRPr="00BC6F6A" w:rsidRDefault="00771B64" w:rsidP="00BC6F6A"/>
    <w:tbl>
      <w:tblPr>
        <w:tblW w:w="5000" w:type="pct"/>
        <w:tblCellMar>
          <w:left w:w="70" w:type="dxa"/>
          <w:right w:w="70" w:type="dxa"/>
        </w:tblCellMar>
        <w:tblLook w:val="04A0"/>
      </w:tblPr>
      <w:tblGrid>
        <w:gridCol w:w="9353"/>
      </w:tblGrid>
      <w:tr w:rsidR="00771B64" w:rsidRPr="00771B64" w:rsidTr="00BC6F6A">
        <w:trPr>
          <w:trHeight w:val="593"/>
        </w:trPr>
        <w:tc>
          <w:tcPr>
            <w:tcW w:w="5000" w:type="pct"/>
            <w:vMerge w:val="restart"/>
            <w:tcBorders>
              <w:top w:val="nil"/>
              <w:left w:val="nil"/>
              <w:bottom w:val="nil"/>
              <w:right w:val="nil"/>
            </w:tcBorders>
            <w:shd w:val="clear" w:color="auto" w:fill="auto"/>
            <w:hideMark/>
          </w:tcPr>
          <w:p w:rsidR="00F0589D" w:rsidRDefault="00984EB2" w:rsidP="00F0589D">
            <w:pPr>
              <w:spacing w:after="0"/>
              <w:jc w:val="both"/>
            </w:pPr>
            <w:r>
              <w:rPr>
                <w:szCs w:val="16"/>
              </w:rPr>
              <w:t xml:space="preserve">     </w:t>
            </w:r>
            <w:r w:rsidR="00F0589D">
              <w:rPr>
                <w:szCs w:val="16"/>
              </w:rPr>
              <w:t>Jedná se o opravu</w:t>
            </w:r>
            <w:r w:rsidR="00771B64" w:rsidRPr="00771B64">
              <w:rPr>
                <w:szCs w:val="16"/>
              </w:rPr>
              <w:t xml:space="preserve"> komínu na bytovém d</w:t>
            </w:r>
            <w:r w:rsidR="00771B64" w:rsidRPr="00BC6F6A">
              <w:t>omě</w:t>
            </w:r>
            <w:r w:rsidR="00BC6F6A" w:rsidRPr="00BC6F6A">
              <w:t xml:space="preserve"> č. p. 34 v Rokytnici v </w:t>
            </w:r>
            <w:r w:rsidR="00BC6F6A">
              <w:t>O</w:t>
            </w:r>
            <w:r w:rsidR="00BC6F6A" w:rsidRPr="00BC6F6A">
              <w:t>rlických horách</w:t>
            </w:r>
            <w:r w:rsidR="00771B64" w:rsidRPr="00BC6F6A">
              <w:t xml:space="preserve">. </w:t>
            </w:r>
            <w:r w:rsidR="00140EF9">
              <w:t>Nadstřešní část komínu bude odbourána a zhotovena nová.</w:t>
            </w:r>
          </w:p>
          <w:p w:rsidR="00F0589D" w:rsidRDefault="00984EB2" w:rsidP="00F0589D">
            <w:pPr>
              <w:spacing w:after="0"/>
              <w:jc w:val="both"/>
            </w:pPr>
            <w:r>
              <w:t xml:space="preserve">     </w:t>
            </w:r>
            <w:r w:rsidR="00771B64" w:rsidRPr="00BC6F6A">
              <w:t>Předpokládá se, že oprava p</w:t>
            </w:r>
            <w:r w:rsidR="00771B64" w:rsidRPr="00771B64">
              <w:t>roběhne za</w:t>
            </w:r>
            <w:r w:rsidR="00BC6F6A" w:rsidRPr="00BC6F6A">
              <w:t xml:space="preserve"> použití lešení z vnější strany</w:t>
            </w:r>
            <w:r w:rsidR="00771B64" w:rsidRPr="00771B64">
              <w:t xml:space="preserve">, tak aby nedošlo k poškození krytiny objektu, proto je nutné tuto krytinu v prostoru prováděných stavebních prací zakrýt a zajistit proti poškození. </w:t>
            </w:r>
          </w:p>
          <w:p w:rsidR="00140EF9" w:rsidRDefault="00984EB2" w:rsidP="00F0589D">
            <w:pPr>
              <w:spacing w:after="0"/>
              <w:jc w:val="both"/>
            </w:pPr>
            <w:r>
              <w:t xml:space="preserve">     </w:t>
            </w:r>
            <w:r w:rsidR="00F0589D">
              <w:t>O</w:t>
            </w:r>
            <w:r w:rsidR="00771B64" w:rsidRPr="00771B64">
              <w:t>dpady</w:t>
            </w:r>
            <w:r w:rsidR="00F0589D">
              <w:t>, které vzniknou stavebními pracemi,</w:t>
            </w:r>
            <w:r w:rsidR="00771B64" w:rsidRPr="00771B64">
              <w:t xml:space="preserve"> budou uloženy na řízené skládce dle platných zákonů ČR. </w:t>
            </w:r>
          </w:p>
          <w:p w:rsidR="00140EF9" w:rsidRDefault="00140EF9" w:rsidP="00F0589D">
            <w:pPr>
              <w:spacing w:after="0"/>
              <w:jc w:val="both"/>
            </w:pPr>
            <w:r>
              <w:t xml:space="preserve">     </w:t>
            </w:r>
            <w:r w:rsidR="00771B64" w:rsidRPr="00771B64">
              <w:t xml:space="preserve">Na výstavbu nového komínového tělesa (nadstřešní části) budou použity </w:t>
            </w:r>
            <w:r>
              <w:t>ostře pálené lícové cihly a</w:t>
            </w:r>
            <w:r w:rsidR="00771B64" w:rsidRPr="00771B64">
              <w:t xml:space="preserve"> </w:t>
            </w:r>
            <w:r>
              <w:t>budou zděny na maltu cementovou. D</w:t>
            </w:r>
            <w:r w:rsidR="00771B64" w:rsidRPr="00771B64">
              <w:t xml:space="preserve">oporučuje se provést spárování zdiva současně při zdění (takzvaně do čerstvého). </w:t>
            </w:r>
          </w:p>
          <w:p w:rsidR="00771B64" w:rsidRPr="00EC20CE" w:rsidRDefault="00140EF9" w:rsidP="00F0589D">
            <w:pPr>
              <w:spacing w:after="0"/>
              <w:jc w:val="both"/>
            </w:pPr>
            <w:r>
              <w:t xml:space="preserve">     </w:t>
            </w:r>
            <w:r w:rsidR="00771B64" w:rsidRPr="00771B64">
              <w:t xml:space="preserve">Komínový průduch v nadstřešní části bude </w:t>
            </w:r>
            <w:proofErr w:type="spellStart"/>
            <w:r w:rsidR="00771B64" w:rsidRPr="00771B64">
              <w:t>vyvložk</w:t>
            </w:r>
            <w:r w:rsidR="00771B64" w:rsidRPr="00BC6F6A">
              <w:t>ován</w:t>
            </w:r>
            <w:proofErr w:type="spellEnd"/>
            <w:r w:rsidR="00771B64" w:rsidRPr="00BC6F6A">
              <w:t xml:space="preserve"> komínovou vložkou DN 200 (p</w:t>
            </w:r>
            <w:r w:rsidR="00771B64" w:rsidRPr="00771B64">
              <w:t>růměr průduchu stávajícího komínu</w:t>
            </w:r>
            <w:r>
              <w:t xml:space="preserve"> nutno po odbourání prověřit).</w:t>
            </w:r>
            <w:r w:rsidR="006378C5" w:rsidRPr="00BC6F6A">
              <w:t xml:space="preserve"> </w:t>
            </w:r>
            <w:r>
              <w:t>K</w:t>
            </w:r>
            <w:r w:rsidR="00771B64" w:rsidRPr="00771B64">
              <w:t xml:space="preserve">omínové vložky budou obaleny minerální vatou určenou pro tyto účely, v betonové komínové hlavě bude kolem vložky zajištěna dilatace pro pohyb vložky a tato bude ošetřena vodotěsným tmelem proti zatékání. Horní hrana komínu musí být provedena min. 650 mm nad hřeben střechy. Oplechování komínu se zachová stávající, po dokončení zdiva bude vyříznuta podél horní hrany stávajícího oplechování do zdiva drážka hloubky cca 20mm, do této se ukotví úhelník z klempířského plechu </w:t>
            </w:r>
            <w:r w:rsidR="00BC6F6A">
              <w:t>o velikosti</w:t>
            </w:r>
            <w:r w:rsidR="00771B64" w:rsidRPr="00771B64">
              <w:t xml:space="preserve"> 20x50mm a tento překryje napojení zdiva a oplechování. Vzniklá spára bude zatmelena.</w:t>
            </w: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r w:rsidR="00771B64" w:rsidRPr="00771B64" w:rsidTr="00BC6F6A">
        <w:trPr>
          <w:trHeight w:val="593"/>
        </w:trPr>
        <w:tc>
          <w:tcPr>
            <w:tcW w:w="5000" w:type="pct"/>
            <w:vMerge/>
            <w:tcBorders>
              <w:top w:val="nil"/>
              <w:left w:val="nil"/>
              <w:bottom w:val="nil"/>
              <w:right w:val="nil"/>
            </w:tcBorders>
            <w:vAlign w:val="center"/>
            <w:hideMark/>
          </w:tcPr>
          <w:p w:rsidR="00771B64" w:rsidRPr="00771B64" w:rsidRDefault="00771B64" w:rsidP="00BC6F6A">
            <w:pPr>
              <w:rPr>
                <w:lang w:eastAsia="cs-CZ"/>
              </w:rPr>
            </w:pPr>
          </w:p>
        </w:tc>
      </w:tr>
    </w:tbl>
    <w:p w:rsidR="00C4788A" w:rsidRDefault="00AC0E4E" w:rsidP="00BC6F6A"/>
    <w:sectPr w:rsidR="00C4788A" w:rsidSect="00771B64">
      <w:pgSz w:w="11906" w:h="16838"/>
      <w:pgMar w:top="1417" w:right="1417"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B64"/>
    <w:rsid w:val="00140EF9"/>
    <w:rsid w:val="002305E2"/>
    <w:rsid w:val="005323CA"/>
    <w:rsid w:val="006244C3"/>
    <w:rsid w:val="006378C5"/>
    <w:rsid w:val="00771B64"/>
    <w:rsid w:val="00807DF7"/>
    <w:rsid w:val="00984EB2"/>
    <w:rsid w:val="00AC0E4E"/>
    <w:rsid w:val="00BC6F6A"/>
    <w:rsid w:val="00C8163C"/>
    <w:rsid w:val="00EC20CE"/>
    <w:rsid w:val="00F058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6F6A"/>
    <w:pPr>
      <w:jc w:val="center"/>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73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211</Words>
  <Characters>1251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2015-05-12T11:41:00Z</dcterms:created>
  <dcterms:modified xsi:type="dcterms:W3CDTF">2015-05-13T07:56:00Z</dcterms:modified>
</cp:coreProperties>
</file>